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0851" w14:textId="70D28180" w:rsidR="003B6673" w:rsidRPr="008B2C21" w:rsidRDefault="00661211" w:rsidP="003B6673">
      <w:pPr>
        <w:jc w:val="center"/>
        <w:rPr>
          <w:rFonts w:ascii="Book Antiqua" w:hAnsi="Book Antiqua" w:cs="Times New Roman"/>
          <w:b/>
          <w:u w:val="single"/>
        </w:rPr>
      </w:pPr>
      <w:r w:rsidRPr="008B2C21">
        <w:rPr>
          <w:rFonts w:ascii="Book Antiqua" w:hAnsi="Book Antiqua" w:cs="Times New Roman"/>
          <w:b/>
          <w:u w:val="single"/>
        </w:rPr>
        <w:t>ADR SECTION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M</w:t>
      </w:r>
      <w:r w:rsidR="005A2DB1">
        <w:rPr>
          <w:rFonts w:ascii="Book Antiqua" w:hAnsi="Book Antiqua" w:cs="Times New Roman"/>
          <w:b/>
          <w:u w:val="single"/>
        </w:rPr>
        <w:t>EETING AGENDA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</w:t>
      </w:r>
      <w:r w:rsidR="00570271">
        <w:rPr>
          <w:rFonts w:ascii="Book Antiqua" w:hAnsi="Book Antiqua" w:cs="Times New Roman"/>
          <w:b/>
          <w:u w:val="single"/>
        </w:rPr>
        <w:t>–</w:t>
      </w:r>
      <w:r w:rsidR="00A51C73">
        <w:rPr>
          <w:rFonts w:ascii="Book Antiqua" w:hAnsi="Book Antiqua" w:cs="Times New Roman"/>
          <w:b/>
          <w:u w:val="single"/>
        </w:rPr>
        <w:t xml:space="preserve"> </w:t>
      </w:r>
      <w:r w:rsidR="00837089">
        <w:rPr>
          <w:rFonts w:ascii="Book Antiqua" w:hAnsi="Book Antiqua" w:cs="Times New Roman"/>
          <w:b/>
          <w:u w:val="single"/>
        </w:rPr>
        <w:t>July 16</w:t>
      </w:r>
      <w:r w:rsidR="00A51C73">
        <w:rPr>
          <w:rFonts w:ascii="Book Antiqua" w:hAnsi="Book Antiqua" w:cs="Times New Roman"/>
          <w:b/>
          <w:u w:val="single"/>
        </w:rPr>
        <w:t>, 202</w:t>
      </w:r>
      <w:r w:rsidR="005B1502">
        <w:rPr>
          <w:rFonts w:ascii="Book Antiqua" w:hAnsi="Book Antiqua" w:cs="Times New Roman"/>
          <w:b/>
          <w:u w:val="single"/>
        </w:rPr>
        <w:t>5</w:t>
      </w:r>
      <w:r w:rsidR="00A51C73">
        <w:rPr>
          <w:rFonts w:ascii="Book Antiqua" w:hAnsi="Book Antiqua" w:cs="Times New Roman"/>
          <w:b/>
          <w:u w:val="single"/>
        </w:rPr>
        <w:t>,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</w:t>
      </w:r>
      <w:r w:rsidR="00193189">
        <w:rPr>
          <w:rFonts w:ascii="Book Antiqua" w:hAnsi="Book Antiqua" w:cs="Times New Roman"/>
          <w:b/>
          <w:u w:val="single"/>
        </w:rPr>
        <w:t>at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9:00 A.M. </w:t>
      </w:r>
    </w:p>
    <w:p w14:paraId="3DAB5B6B" w14:textId="79ED1465" w:rsidR="001B19F3" w:rsidRPr="000A5DCF" w:rsidRDefault="00A36D3F" w:rsidP="0099219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Call to Order</w:t>
      </w:r>
    </w:p>
    <w:p w14:paraId="346FC7DF" w14:textId="5A4B7A74" w:rsidR="00535B34" w:rsidRPr="00535B34" w:rsidRDefault="00535B34" w:rsidP="00535B34">
      <w:pPr>
        <w:spacing w:after="0" w:line="240" w:lineRule="auto"/>
        <w:rPr>
          <w:rFonts w:ascii="Book Antiqua" w:hAnsi="Book Antiqua" w:cs="Times New Roman"/>
          <w:bCs/>
        </w:rPr>
      </w:pPr>
    </w:p>
    <w:p w14:paraId="5D183806" w14:textId="56BF0196" w:rsidR="002F105A" w:rsidRPr="002F105A" w:rsidRDefault="00CE1EC5" w:rsidP="002F105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Review</w:t>
      </w:r>
      <w:r w:rsidR="005A2DB1" w:rsidRPr="000A5DCF">
        <w:rPr>
          <w:rFonts w:ascii="Book Antiqua" w:hAnsi="Book Antiqua" w:cs="Times New Roman"/>
          <w:bCs/>
          <w:u w:val="single"/>
        </w:rPr>
        <w:t>/</w:t>
      </w:r>
      <w:r w:rsidR="0099219A" w:rsidRPr="000A5DCF">
        <w:rPr>
          <w:rFonts w:ascii="Book Antiqua" w:hAnsi="Book Antiqua" w:cs="Times New Roman"/>
          <w:bCs/>
          <w:u w:val="single"/>
        </w:rPr>
        <w:t>Approval of</w:t>
      </w:r>
      <w:r w:rsidR="005B2066">
        <w:rPr>
          <w:rFonts w:ascii="Book Antiqua" w:hAnsi="Book Antiqua" w:cs="Times New Roman"/>
          <w:bCs/>
          <w:u w:val="single"/>
        </w:rPr>
        <w:t xml:space="preserve"> June 18, 2025</w:t>
      </w:r>
      <w:r w:rsidR="00837089">
        <w:rPr>
          <w:rFonts w:ascii="Book Antiqua" w:hAnsi="Book Antiqua" w:cs="Times New Roman"/>
          <w:bCs/>
          <w:u w:val="single"/>
        </w:rPr>
        <w:t>,</w:t>
      </w:r>
      <w:r w:rsidR="005B2066">
        <w:rPr>
          <w:rFonts w:ascii="Book Antiqua" w:hAnsi="Book Antiqua" w:cs="Times New Roman"/>
          <w:bCs/>
          <w:u w:val="single"/>
        </w:rPr>
        <w:t xml:space="preserve"> Meeting</w:t>
      </w:r>
      <w:r w:rsidR="005B2066" w:rsidRPr="005B2066">
        <w:rPr>
          <w:rFonts w:ascii="Book Antiqua" w:hAnsi="Book Antiqua" w:cs="Times New Roman"/>
          <w:bCs/>
        </w:rPr>
        <w:t xml:space="preserve"> - No agenda</w:t>
      </w:r>
      <w:r w:rsidR="005B2066">
        <w:rPr>
          <w:rFonts w:ascii="Book Antiqua" w:hAnsi="Book Antiqua" w:cs="Times New Roman"/>
          <w:bCs/>
        </w:rPr>
        <w:t>/no minutes</w:t>
      </w:r>
    </w:p>
    <w:p w14:paraId="052A359F" w14:textId="77777777" w:rsidR="002F105A" w:rsidRPr="002F105A" w:rsidRDefault="002F105A" w:rsidP="002F105A">
      <w:pPr>
        <w:pStyle w:val="ListParagraph"/>
        <w:rPr>
          <w:rFonts w:ascii="Book Antiqua" w:hAnsi="Book Antiqua" w:cs="Times New Roman"/>
          <w:bCs/>
          <w:u w:val="single"/>
        </w:rPr>
      </w:pPr>
    </w:p>
    <w:p w14:paraId="21CD695D" w14:textId="44110C78" w:rsidR="00A55A3F" w:rsidRDefault="001B19F3" w:rsidP="00C507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Announcement</w:t>
      </w:r>
      <w:r w:rsidR="0099219A" w:rsidRPr="000A5DCF">
        <w:rPr>
          <w:rFonts w:ascii="Book Antiqua" w:hAnsi="Book Antiqua" w:cs="Times New Roman"/>
          <w:bCs/>
          <w:u w:val="single"/>
        </w:rPr>
        <w:t>s</w:t>
      </w:r>
      <w:r w:rsidR="0039539C" w:rsidRPr="003034D9">
        <w:rPr>
          <w:rFonts w:ascii="Book Antiqua" w:hAnsi="Book Antiqua" w:cs="Times New Roman"/>
          <w:bCs/>
        </w:rPr>
        <w:t>:</w:t>
      </w:r>
    </w:p>
    <w:p w14:paraId="1FB067E4" w14:textId="77777777" w:rsidR="00024DC6" w:rsidRPr="00024DC6" w:rsidRDefault="00024DC6" w:rsidP="004D17C2">
      <w:pPr>
        <w:spacing w:after="0" w:line="240" w:lineRule="auto"/>
        <w:rPr>
          <w:rFonts w:ascii="Book Antiqua" w:hAnsi="Book Antiqua" w:cs="Times New Roman"/>
          <w:bCs/>
        </w:rPr>
      </w:pPr>
    </w:p>
    <w:p w14:paraId="6044D73A" w14:textId="4064EDA7" w:rsidR="00AD23E2" w:rsidRPr="00AD23E2" w:rsidRDefault="00024DC6" w:rsidP="00AD23E2">
      <w:pPr>
        <w:spacing w:after="0" w:line="240" w:lineRule="auto"/>
        <w:ind w:left="1080"/>
        <w:rPr>
          <w:rFonts w:ascii="Book Antiqua" w:hAnsi="Book Antiqua" w:cs="Times New Roman"/>
          <w:b/>
        </w:rPr>
      </w:pPr>
      <w:r w:rsidRPr="00E94493">
        <w:rPr>
          <w:rFonts w:ascii="Book Antiqua" w:hAnsi="Book Antiqua" w:cs="Times New Roman"/>
          <w:b/>
        </w:rPr>
        <w:t>Article</w:t>
      </w:r>
      <w:r w:rsidR="001415A6">
        <w:rPr>
          <w:rFonts w:ascii="Book Antiqua" w:hAnsi="Book Antiqua" w:cs="Times New Roman"/>
          <w:b/>
        </w:rPr>
        <w:t>:</w:t>
      </w:r>
      <w:r w:rsidR="000B63AE">
        <w:rPr>
          <w:rFonts w:ascii="Book Antiqua" w:hAnsi="Book Antiqua" w:cs="Times New Roman"/>
          <w:b/>
        </w:rPr>
        <w:t xml:space="preserve">  </w:t>
      </w:r>
      <w:r w:rsidR="00AD23E2" w:rsidRPr="00AD23E2">
        <w:rPr>
          <w:rFonts w:ascii="Book Antiqua" w:hAnsi="Book Antiqua" w:cs="Times New Roman"/>
          <w:bCs/>
        </w:rPr>
        <w:t>Rara Kang, Katherine A. Roberts and Maxwell B. Gordon</w:t>
      </w:r>
      <w:r w:rsidR="00AD23E2">
        <w:rPr>
          <w:rFonts w:ascii="Book Antiqua" w:hAnsi="Book Antiqua" w:cs="Times New Roman"/>
          <w:bCs/>
        </w:rPr>
        <w:t xml:space="preserve">, </w:t>
      </w:r>
      <w:hyperlink r:id="rId5" w:history="1">
        <w:r w:rsidR="00AD23E2" w:rsidRPr="0044560A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AAA Revises Consumer and Employment/Workplace Arbitration Rules</w:t>
        </w:r>
      </w:hyperlink>
      <w:r w:rsidR="00AD23E2">
        <w:rPr>
          <w:rFonts w:ascii="Book Antiqua" w:hAnsi="Book Antiqua" w:cs="Times New Roman"/>
          <w:bCs/>
          <w:i/>
          <w:iCs/>
        </w:rPr>
        <w:t xml:space="preserve">, </w:t>
      </w:r>
      <w:r w:rsidR="00AD23E2" w:rsidRPr="00AD23E2">
        <w:rPr>
          <w:rFonts w:ascii="Book Antiqua" w:hAnsi="Book Antiqua" w:cs="Times New Roman"/>
          <w:bCs/>
        </w:rPr>
        <w:t>Sidley Austin LLP</w:t>
      </w:r>
      <w:r w:rsidR="00AD23E2">
        <w:rPr>
          <w:rFonts w:ascii="Book Antiqua" w:hAnsi="Book Antiqua" w:cs="Times New Roman"/>
          <w:bCs/>
        </w:rPr>
        <w:t xml:space="preserve">, May 8, 2025.  Discusses rule changes, effective May 1, 2025, to the AAA’s </w:t>
      </w:r>
      <w:r w:rsidR="00AD23E2" w:rsidRPr="00AD23E2">
        <w:rPr>
          <w:rFonts w:ascii="Book Antiqua" w:hAnsi="Book Antiqua" w:cs="Times New Roman"/>
          <w:bCs/>
        </w:rPr>
        <w:t>Consumer Arbitration Rules and Mediation Procedures and Employment/Workplace Arbitration Rules and Mediation Procedures</w:t>
      </w:r>
    </w:p>
    <w:p w14:paraId="7906F918" w14:textId="77777777" w:rsidR="00AD23E2" w:rsidRPr="00AD23E2" w:rsidRDefault="00AD23E2" w:rsidP="002A0E47">
      <w:pPr>
        <w:spacing w:after="0" w:line="240" w:lineRule="auto"/>
        <w:ind w:left="1080"/>
        <w:rPr>
          <w:rFonts w:ascii="Book Antiqua" w:hAnsi="Book Antiqua" w:cs="Times New Roman"/>
          <w:bCs/>
        </w:rPr>
      </w:pPr>
    </w:p>
    <w:p w14:paraId="2A7848D9" w14:textId="3F3519F0" w:rsidR="0044560A" w:rsidRPr="0044560A" w:rsidRDefault="00AD23E2" w:rsidP="0044560A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 w:rsidRPr="0044560A">
        <w:rPr>
          <w:rFonts w:ascii="Book Antiqua" w:hAnsi="Book Antiqua" w:cs="Times New Roman"/>
          <w:b/>
        </w:rPr>
        <w:t>Article:</w:t>
      </w:r>
      <w:r>
        <w:rPr>
          <w:rFonts w:ascii="Book Antiqua" w:hAnsi="Book Antiqua" w:cs="Times New Roman"/>
          <w:bCs/>
        </w:rPr>
        <w:t xml:space="preserve"> </w:t>
      </w:r>
      <w:r w:rsidRPr="00AD23E2">
        <w:rPr>
          <w:rFonts w:ascii="Book Antiqua" w:hAnsi="Book Antiqua" w:cs="Times New Roman"/>
          <w:bCs/>
        </w:rPr>
        <w:t>Emmanuel Gaillard</w:t>
      </w:r>
      <w:r>
        <w:rPr>
          <w:rFonts w:ascii="Book Antiqua" w:hAnsi="Book Antiqua" w:cs="Times New Roman"/>
          <w:bCs/>
        </w:rPr>
        <w:t xml:space="preserve">, </w:t>
      </w:r>
      <w:r w:rsidR="0044560A" w:rsidRPr="0044560A">
        <w:rPr>
          <w:rFonts w:ascii="Book Antiqua" w:hAnsi="Book Antiqua" w:cs="Times New Roman"/>
          <w:bCs/>
        </w:rPr>
        <w:t>Benjamin Siino</w:t>
      </w:r>
      <w:r w:rsidR="0044560A">
        <w:rPr>
          <w:rFonts w:ascii="Book Antiqua" w:hAnsi="Book Antiqua" w:cs="Times New Roman"/>
          <w:bCs/>
        </w:rPr>
        <w:t xml:space="preserve">, </w:t>
      </w:r>
      <w:hyperlink r:id="rId6" w:history="1">
        <w:r w:rsidRPr="0044560A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Enforcement under the New York Convention</w:t>
        </w:r>
      </w:hyperlink>
      <w:r w:rsidR="0044560A">
        <w:rPr>
          <w:rFonts w:ascii="Book Antiqua" w:hAnsi="Book Antiqua" w:cs="Times New Roman"/>
          <w:bCs/>
          <w:i/>
          <w:iCs/>
        </w:rPr>
        <w:t xml:space="preserve">, </w:t>
      </w:r>
      <w:r w:rsidR="0044560A" w:rsidRPr="0044560A">
        <w:rPr>
          <w:rFonts w:ascii="Book Antiqua" w:hAnsi="Book Antiqua" w:cs="Times New Roman"/>
          <w:bCs/>
        </w:rPr>
        <w:t>Global Arbitration Review</w:t>
      </w:r>
      <w:r w:rsidR="0044560A">
        <w:rPr>
          <w:rFonts w:ascii="Book Antiqua" w:hAnsi="Book Antiqua" w:cs="Times New Roman"/>
          <w:bCs/>
        </w:rPr>
        <w:t xml:space="preserve">, June 16, 2025 (updated).  Good discussion of the 1958 UN </w:t>
      </w:r>
      <w:r w:rsidR="0044560A" w:rsidRPr="0044560A">
        <w:rPr>
          <w:rFonts w:ascii="Book Antiqua" w:hAnsi="Book Antiqua" w:cs="Times New Roman"/>
          <w:bCs/>
        </w:rPr>
        <w:t>Convention on the Recognition and Enforcement of Foreign Arbitral Awards (</w:t>
      </w:r>
      <w:r w:rsidR="0044560A">
        <w:rPr>
          <w:rFonts w:ascii="Book Antiqua" w:hAnsi="Book Antiqua" w:cs="Times New Roman"/>
          <w:bCs/>
        </w:rPr>
        <w:t xml:space="preserve">frequently referred to as “The </w:t>
      </w:r>
      <w:r w:rsidR="0044560A" w:rsidRPr="0044560A">
        <w:rPr>
          <w:rFonts w:ascii="Book Antiqua" w:hAnsi="Book Antiqua" w:cs="Times New Roman"/>
          <w:bCs/>
        </w:rPr>
        <w:t>New York Convention</w:t>
      </w:r>
      <w:r w:rsidR="0044560A">
        <w:rPr>
          <w:rFonts w:ascii="Book Antiqua" w:hAnsi="Book Antiqua" w:cs="Times New Roman"/>
          <w:bCs/>
        </w:rPr>
        <w:t>”) and handling and enforcing international arbitration awards.</w:t>
      </w:r>
    </w:p>
    <w:p w14:paraId="18C7935E" w14:textId="77777777" w:rsidR="00AD23E2" w:rsidRDefault="00AD23E2" w:rsidP="002A0E47">
      <w:pPr>
        <w:spacing w:after="0" w:line="240" w:lineRule="auto"/>
        <w:ind w:left="1080"/>
        <w:rPr>
          <w:rFonts w:ascii="Book Antiqua" w:hAnsi="Book Antiqua" w:cs="Times New Roman"/>
          <w:b/>
        </w:rPr>
      </w:pPr>
    </w:p>
    <w:p w14:paraId="55A2A893" w14:textId="49FDE6F2" w:rsidR="001A41C0" w:rsidRPr="001A41C0" w:rsidRDefault="0044560A" w:rsidP="001A41C0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 w:rsidRPr="001A41C0">
        <w:rPr>
          <w:rFonts w:ascii="Book Antiqua" w:hAnsi="Book Antiqua" w:cs="Times New Roman"/>
          <w:b/>
        </w:rPr>
        <w:t>Case</w:t>
      </w:r>
      <w:r>
        <w:rPr>
          <w:rFonts w:ascii="Book Antiqua" w:hAnsi="Book Antiqua" w:cs="Times New Roman"/>
          <w:bCs/>
        </w:rPr>
        <w:t>:</w:t>
      </w:r>
      <w:r w:rsidR="001A41C0">
        <w:rPr>
          <w:rFonts w:ascii="Book Antiqua" w:hAnsi="Book Antiqua" w:cs="Times New Roman"/>
          <w:bCs/>
        </w:rPr>
        <w:t xml:space="preserve">  </w:t>
      </w:r>
      <w:r w:rsidR="001A41C0" w:rsidRPr="001A41C0">
        <w:rPr>
          <w:rFonts w:ascii="Book Antiqua" w:hAnsi="Book Antiqua" w:cs="Times New Roman"/>
          <w:bCs/>
          <w:i/>
          <w:iCs/>
        </w:rPr>
        <w:t>Lovett v. Beneteau Grp. Am., Inc.</w:t>
      </w:r>
      <w:r w:rsidR="001A41C0" w:rsidRPr="001A41C0">
        <w:rPr>
          <w:rFonts w:ascii="Book Antiqua" w:hAnsi="Book Antiqua" w:cs="Times New Roman"/>
          <w:bCs/>
        </w:rPr>
        <w:t xml:space="preserve">, No. N24C-09-266 SKR (CCLD), 2025 Del. Super. LEXIS 280 (Super. Ct. May 30, 2025) </w:t>
      </w:r>
      <w:r w:rsidR="001A41C0">
        <w:rPr>
          <w:rFonts w:ascii="Book Antiqua" w:hAnsi="Book Antiqua" w:cs="Times New Roman"/>
          <w:bCs/>
        </w:rPr>
        <w:t xml:space="preserve">(Discussing the interplay of the Federal Arbitration Act, </w:t>
      </w:r>
      <w:r w:rsidR="001A41C0" w:rsidRPr="001A41C0">
        <w:rPr>
          <w:rFonts w:ascii="Book Antiqua" w:hAnsi="Book Antiqua" w:cs="Times New Roman"/>
          <w:bCs/>
        </w:rPr>
        <w:t>Magnuson-Moss Warranty Act</w:t>
      </w:r>
      <w:r w:rsidR="001A41C0">
        <w:rPr>
          <w:rFonts w:ascii="Book Antiqua" w:hAnsi="Book Antiqua" w:cs="Times New Roman"/>
          <w:bCs/>
        </w:rPr>
        <w:t xml:space="preserve"> and </w:t>
      </w:r>
      <w:r w:rsidR="001A41C0" w:rsidRPr="001A41C0">
        <w:rPr>
          <w:rFonts w:ascii="Book Antiqua" w:hAnsi="Book Antiqua" w:cs="Times New Roman"/>
          <w:bCs/>
          <w:i/>
          <w:iCs/>
        </w:rPr>
        <w:t>Shearson/American Express v. McMahon</w:t>
      </w:r>
      <w:r w:rsidR="001A41C0" w:rsidRPr="001A41C0">
        <w:rPr>
          <w:rFonts w:ascii="Book Antiqua" w:hAnsi="Book Antiqua" w:cs="Times New Roman"/>
          <w:bCs/>
        </w:rPr>
        <w:t xml:space="preserve">, 482 U.S. 220, 107 S. Ct. 2332 (1987) </w:t>
      </w:r>
      <w:r w:rsidR="001A41C0">
        <w:rPr>
          <w:rFonts w:ascii="Book Antiqua" w:hAnsi="Book Antiqua" w:cs="Times New Roman"/>
          <w:bCs/>
        </w:rPr>
        <w:t>to determine whether a contractual arbitration agreement should be binding.)</w:t>
      </w:r>
    </w:p>
    <w:p w14:paraId="4F1545C0" w14:textId="77777777" w:rsidR="001A41C0" w:rsidRDefault="001A41C0" w:rsidP="001A41C0">
      <w:pPr>
        <w:spacing w:after="0" w:line="240" w:lineRule="auto"/>
        <w:ind w:left="1080"/>
        <w:rPr>
          <w:rFonts w:ascii="Book Antiqua" w:hAnsi="Book Antiqua" w:cs="Times New Roman"/>
          <w:bCs/>
        </w:rPr>
      </w:pPr>
    </w:p>
    <w:p w14:paraId="3ADA0127" w14:textId="7CB4250E" w:rsidR="005B2066" w:rsidRPr="005B2066" w:rsidRDefault="005B2066" w:rsidP="005B2066">
      <w:pPr>
        <w:spacing w:after="0" w:line="240" w:lineRule="auto"/>
        <w:ind w:left="1080"/>
        <w:rPr>
          <w:rFonts w:ascii="Book Antiqua" w:hAnsi="Book Antiqua" w:cs="Times New Roman"/>
          <w:b/>
        </w:rPr>
      </w:pPr>
      <w:r w:rsidRPr="005B2066">
        <w:rPr>
          <w:rFonts w:ascii="Book Antiqua" w:hAnsi="Book Antiqua" w:cs="Times New Roman"/>
          <w:b/>
        </w:rPr>
        <w:t xml:space="preserve">Presentation: </w:t>
      </w:r>
      <w:hyperlink r:id="rId7" w:history="1">
        <w:r w:rsidRPr="005B2066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Best Practices for Drafting Reasoned Arbitration Awards: A Conversation with John Burritt McArthur</w:t>
        </w:r>
      </w:hyperlink>
      <w:r w:rsidRPr="005B2066">
        <w:rPr>
          <w:rFonts w:ascii="Book Antiqua" w:hAnsi="Book Antiqua" w:cs="Times New Roman"/>
          <w:bCs/>
          <w:i/>
          <w:iCs/>
        </w:rPr>
        <w:t>,</w:t>
      </w:r>
      <w:r>
        <w:rPr>
          <w:rFonts w:ascii="Book Antiqua" w:hAnsi="Book Antiqua" w:cs="Times New Roman"/>
          <w:bCs/>
        </w:rPr>
        <w:t xml:space="preserve"> </w:t>
      </w:r>
      <w:r w:rsidRPr="005B2066">
        <w:rPr>
          <w:rFonts w:ascii="Book Antiqua" w:hAnsi="Book Antiqua" w:cs="Times New Roman"/>
          <w:bCs/>
        </w:rPr>
        <w:t>College of Commercial Arbitrators</w:t>
      </w:r>
      <w:r>
        <w:rPr>
          <w:rFonts w:ascii="Book Antiqua" w:hAnsi="Book Antiqua" w:cs="Times New Roman"/>
          <w:bCs/>
        </w:rPr>
        <w:t>, June 9, 2025</w:t>
      </w:r>
    </w:p>
    <w:p w14:paraId="3CB01EC0" w14:textId="77777777" w:rsidR="0044560A" w:rsidRDefault="0044560A" w:rsidP="002A0E47">
      <w:pPr>
        <w:spacing w:after="0" w:line="240" w:lineRule="auto"/>
        <w:ind w:left="1080"/>
        <w:rPr>
          <w:rFonts w:ascii="Book Antiqua" w:hAnsi="Book Antiqua" w:cs="Times New Roman"/>
          <w:bCs/>
        </w:rPr>
      </w:pPr>
    </w:p>
    <w:p w14:paraId="082F570E" w14:textId="725F6764" w:rsidR="00AF5FB7" w:rsidRDefault="000B63AE" w:rsidP="00AF5FB7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/>
        </w:rPr>
        <w:t>Publication Opportunity</w:t>
      </w:r>
      <w:r w:rsidR="00AF5FB7">
        <w:rPr>
          <w:rFonts w:ascii="Book Antiqua" w:hAnsi="Book Antiqua" w:cs="Times New Roman"/>
          <w:b/>
        </w:rPr>
        <w:t>:</w:t>
      </w:r>
      <w:r w:rsidR="00AF5FB7">
        <w:rPr>
          <w:rFonts w:ascii="Book Antiqua" w:hAnsi="Book Antiqua" w:cs="Times New Roman"/>
          <w:bCs/>
        </w:rPr>
        <w:t xml:space="preserve"> </w:t>
      </w:r>
      <w:r w:rsidR="00AF5FB7" w:rsidRPr="00AF5FB7">
        <w:rPr>
          <w:rFonts w:ascii="Book Antiqua" w:hAnsi="Book Antiqua" w:cs="Times New Roman"/>
          <w:bCs/>
        </w:rPr>
        <w:t xml:space="preserve">Delaware Law Review. </w:t>
      </w:r>
      <w:hyperlink r:id="rId8" w:history="1">
        <w:r w:rsidR="00AF5FB7" w:rsidRPr="00C00BE7">
          <w:rPr>
            <w:rStyle w:val="Hyperlink"/>
            <w:rFonts w:ascii="Book Antiqua" w:hAnsi="Book Antiqua"/>
            <w:u w:val="none"/>
          </w:rPr>
          <w:t>Danielle Bouchat-Friedman</w:t>
        </w:r>
      </w:hyperlink>
      <w:r w:rsidR="00AF5FB7" w:rsidRPr="00AF5FB7">
        <w:rPr>
          <w:rFonts w:ascii="Book Antiqua" w:hAnsi="Book Antiqua"/>
          <w:color w:val="000000"/>
        </w:rPr>
        <w:t>, the new editor of the Delaware Law Review</w:t>
      </w:r>
      <w:r w:rsidR="00AF5FB7">
        <w:rPr>
          <w:rFonts w:ascii="Book Antiqua" w:hAnsi="Book Antiqua" w:cs="Times New Roman"/>
          <w:bCs/>
        </w:rPr>
        <w:t xml:space="preserve"> </w:t>
      </w:r>
      <w:r w:rsidR="00AF5FB7" w:rsidRPr="00AF5FB7">
        <w:rPr>
          <w:rFonts w:ascii="Book Antiqua" w:hAnsi="Book Antiqua" w:cs="Times New Roman"/>
          <w:bCs/>
        </w:rPr>
        <w:t>is searching for articles to include in upcoming editions of the Law Review.</w:t>
      </w:r>
    </w:p>
    <w:p w14:paraId="6D9AD52D" w14:textId="77777777" w:rsidR="00AF5FB7" w:rsidRDefault="00AF5FB7" w:rsidP="002F2237">
      <w:pPr>
        <w:spacing w:after="0" w:line="240" w:lineRule="auto"/>
        <w:rPr>
          <w:rFonts w:ascii="Book Antiqua" w:hAnsi="Book Antiqua" w:cs="Times New Roman"/>
          <w:bCs/>
        </w:rPr>
      </w:pPr>
    </w:p>
    <w:p w14:paraId="588ED2AD" w14:textId="62926DE0" w:rsidR="00400E13" w:rsidRPr="000A5DCF" w:rsidRDefault="003878B7" w:rsidP="00387B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Ol</w:t>
      </w:r>
      <w:r w:rsidR="00451FF4">
        <w:rPr>
          <w:rFonts w:ascii="Book Antiqua" w:hAnsi="Book Antiqua" w:cs="Times New Roman"/>
          <w:bCs/>
          <w:u w:val="single"/>
        </w:rPr>
        <w:t>d</w:t>
      </w:r>
      <w:r w:rsidRPr="000A5DCF">
        <w:rPr>
          <w:rFonts w:ascii="Book Antiqua" w:hAnsi="Book Antiqua" w:cs="Times New Roman"/>
          <w:bCs/>
          <w:u w:val="single"/>
        </w:rPr>
        <w:t xml:space="preserve"> Business</w:t>
      </w:r>
    </w:p>
    <w:p w14:paraId="307CBDB4" w14:textId="77777777" w:rsidR="009E0514" w:rsidRPr="009E0514" w:rsidRDefault="009E0514" w:rsidP="00F14385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29253AE0" w14:textId="7B5F9CC9" w:rsidR="00837089" w:rsidRPr="00837089" w:rsidRDefault="009E0514" w:rsidP="00837089">
      <w:pPr>
        <w:pStyle w:val="ListParagraph"/>
        <w:numPr>
          <w:ilvl w:val="1"/>
          <w:numId w:val="1"/>
        </w:numPr>
        <w:spacing w:after="0" w:line="240" w:lineRule="auto"/>
        <w:ind w:firstLine="18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Kimmel/</w:t>
      </w:r>
      <w:proofErr w:type="spellStart"/>
      <w:r>
        <w:rPr>
          <w:rFonts w:ascii="Book Antiqua" w:hAnsi="Book Antiqua" w:cs="Times New Roman"/>
          <w:bCs/>
        </w:rPr>
        <w:t>Thynge</w:t>
      </w:r>
      <w:proofErr w:type="spellEnd"/>
      <w:r>
        <w:rPr>
          <w:rFonts w:ascii="Book Antiqua" w:hAnsi="Book Antiqua" w:cs="Times New Roman"/>
          <w:bCs/>
        </w:rPr>
        <w:t xml:space="preserve"> Award</w:t>
      </w:r>
      <w:r w:rsidR="00CB12FF">
        <w:rPr>
          <w:rFonts w:ascii="Book Antiqua" w:hAnsi="Book Antiqua" w:cs="Times New Roman"/>
          <w:bCs/>
        </w:rPr>
        <w:t xml:space="preserve"> –</w:t>
      </w:r>
      <w:r w:rsidR="00F14385">
        <w:rPr>
          <w:rFonts w:ascii="Book Antiqua" w:hAnsi="Book Antiqua" w:cs="Times New Roman"/>
          <w:bCs/>
        </w:rPr>
        <w:t xml:space="preserve"> </w:t>
      </w:r>
      <w:r w:rsidR="005B2066">
        <w:rPr>
          <w:rFonts w:ascii="Book Antiqua" w:hAnsi="Book Antiqua" w:cs="Times New Roman"/>
          <w:bCs/>
        </w:rPr>
        <w:t>The Section presented the Kimmel/</w:t>
      </w:r>
      <w:proofErr w:type="spellStart"/>
      <w:r w:rsidR="005B2066">
        <w:rPr>
          <w:rFonts w:ascii="Book Antiqua" w:hAnsi="Book Antiqua" w:cs="Times New Roman"/>
          <w:bCs/>
        </w:rPr>
        <w:t>Thynge</w:t>
      </w:r>
      <w:proofErr w:type="spellEnd"/>
      <w:r w:rsidR="005B2066">
        <w:rPr>
          <w:rFonts w:ascii="Book Antiqua" w:hAnsi="Book Antiqua" w:cs="Times New Roman"/>
          <w:bCs/>
        </w:rPr>
        <w:t xml:space="preserve"> Award to this year’s recipients Bill Johnston and Ed Carter. </w:t>
      </w:r>
      <w:r w:rsidR="00837089">
        <w:rPr>
          <w:rFonts w:ascii="Book Antiqua" w:hAnsi="Book Antiqua" w:cs="Times New Roman"/>
          <w:bCs/>
        </w:rPr>
        <w:t>Young Conaway’s Wilmington Office</w:t>
      </w:r>
      <w:r w:rsidR="00837089">
        <w:rPr>
          <w:rFonts w:ascii="Book Antiqua" w:hAnsi="Book Antiqua" w:cs="Times New Roman"/>
          <w:bCs/>
        </w:rPr>
        <w:t xml:space="preserve"> hosted the event which featured food and beverages.  Approximately 40 people attended including AAA’s Executive Vice President </w:t>
      </w:r>
      <w:r w:rsidR="00837089" w:rsidRPr="00837089">
        <w:rPr>
          <w:rFonts w:ascii="Book Antiqua" w:hAnsi="Book Antiqua" w:cs="Times New Roman"/>
          <w:bCs/>
        </w:rPr>
        <w:t>Matthew Conger, Esquire, Vice President,</w:t>
      </w:r>
      <w:r w:rsidR="00837089">
        <w:rPr>
          <w:rFonts w:ascii="Book Antiqua" w:hAnsi="Book Antiqua" w:cs="Times New Roman"/>
          <w:bCs/>
        </w:rPr>
        <w:t xml:space="preserve"> at least three past DSBA Presidents, a handful of Delaware current and former judges.  </w:t>
      </w:r>
    </w:p>
    <w:p w14:paraId="230C7AA7" w14:textId="6A6D3B07" w:rsidR="000A5DCF" w:rsidRPr="00770939" w:rsidRDefault="000A5DCF" w:rsidP="00770939">
      <w:pPr>
        <w:spacing w:after="0" w:line="240" w:lineRule="auto"/>
        <w:jc w:val="both"/>
        <w:rPr>
          <w:rFonts w:ascii="Book Antiqua" w:hAnsi="Book Antiqua" w:cs="Times New Roman"/>
          <w:b/>
        </w:rPr>
      </w:pPr>
    </w:p>
    <w:p w14:paraId="2625594D" w14:textId="551EAA75" w:rsidR="003B5277" w:rsidRDefault="00690097" w:rsidP="000A5D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New Business</w:t>
      </w:r>
    </w:p>
    <w:p w14:paraId="452E422F" w14:textId="77777777" w:rsidR="00837089" w:rsidRDefault="00837089" w:rsidP="00837089">
      <w:p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</w:p>
    <w:p w14:paraId="120956E2" w14:textId="5E11C434" w:rsidR="00837089" w:rsidRPr="00837089" w:rsidRDefault="00837089" w:rsidP="00837089">
      <w:pPr>
        <w:pStyle w:val="ListParagraph"/>
        <w:numPr>
          <w:ilvl w:val="1"/>
          <w:numId w:val="1"/>
        </w:numPr>
        <w:spacing w:after="0" w:line="240" w:lineRule="auto"/>
        <w:ind w:left="1440"/>
        <w:jc w:val="both"/>
        <w:rPr>
          <w:rFonts w:ascii="Book Antiqua" w:hAnsi="Book Antiqua" w:cs="Times New Roman"/>
          <w:bCs/>
        </w:rPr>
      </w:pPr>
      <w:r w:rsidRPr="00837089">
        <w:rPr>
          <w:rFonts w:ascii="Book Antiqua" w:hAnsi="Book Antiqua" w:cs="Times New Roman"/>
          <w:bCs/>
        </w:rPr>
        <w:t>August 2025 Meeting</w:t>
      </w:r>
    </w:p>
    <w:p w14:paraId="32993EDB" w14:textId="77777777" w:rsidR="00CB6654" w:rsidRPr="00CD766B" w:rsidRDefault="00CB6654" w:rsidP="00CD766B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0F5CF15A" w14:textId="77DCB0EA" w:rsidR="00123233" w:rsidRPr="00837089" w:rsidRDefault="00123233" w:rsidP="007B4C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 w:rsidRPr="00837089">
        <w:rPr>
          <w:rFonts w:ascii="Book Antiqua" w:hAnsi="Book Antiqua" w:cs="Times New Roman"/>
          <w:bCs/>
          <w:u w:val="single"/>
        </w:rPr>
        <w:t>Next Meeting</w:t>
      </w:r>
      <w:r w:rsidR="000A5DCF" w:rsidRPr="00837089">
        <w:rPr>
          <w:rFonts w:ascii="Book Antiqua" w:hAnsi="Book Antiqua" w:cs="Times New Roman"/>
          <w:bCs/>
        </w:rPr>
        <w:t xml:space="preserve"> </w:t>
      </w:r>
      <w:r w:rsidR="00451FF4" w:rsidRPr="00837089">
        <w:rPr>
          <w:rFonts w:ascii="Book Antiqua" w:hAnsi="Book Antiqua" w:cs="Times New Roman"/>
          <w:bCs/>
        </w:rPr>
        <w:t>–</w:t>
      </w:r>
      <w:r w:rsidR="000A5DCF" w:rsidRPr="00837089">
        <w:rPr>
          <w:rFonts w:ascii="Book Antiqua" w:hAnsi="Book Antiqua" w:cs="Times New Roman"/>
          <w:bCs/>
        </w:rPr>
        <w:t xml:space="preserve"> </w:t>
      </w:r>
      <w:r w:rsidR="00837089">
        <w:rPr>
          <w:rFonts w:ascii="Book Antiqua" w:hAnsi="Book Antiqua" w:cs="Times New Roman"/>
          <w:bCs/>
        </w:rPr>
        <w:t>to be determined</w:t>
      </w:r>
    </w:p>
    <w:p w14:paraId="638AF4A4" w14:textId="7F4C8644" w:rsidR="0020657A" w:rsidRPr="000A5DCF" w:rsidRDefault="0020657A" w:rsidP="009921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 xml:space="preserve">Adjournment </w:t>
      </w:r>
    </w:p>
    <w:sectPr w:rsidR="0020657A" w:rsidRPr="000A5DCF" w:rsidSect="00F6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5B5"/>
    <w:multiLevelType w:val="hybridMultilevel"/>
    <w:tmpl w:val="5ACCE1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4F062A"/>
    <w:multiLevelType w:val="hybridMultilevel"/>
    <w:tmpl w:val="36E2CBCC"/>
    <w:lvl w:ilvl="0" w:tplc="A43C1BBA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B9C"/>
    <w:multiLevelType w:val="hybridMultilevel"/>
    <w:tmpl w:val="FC1A3B22"/>
    <w:lvl w:ilvl="0" w:tplc="C576CC7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D1A096F8">
      <w:start w:val="1"/>
      <w:numFmt w:val="lowerLetter"/>
      <w:lvlText w:val="%2."/>
      <w:lvlJc w:val="left"/>
      <w:pPr>
        <w:ind w:left="900" w:hanging="360"/>
      </w:pPr>
      <w:rPr>
        <w:b w:val="0"/>
        <w:bCs/>
      </w:rPr>
    </w:lvl>
    <w:lvl w:ilvl="2" w:tplc="0126534A">
      <w:start w:val="1"/>
      <w:numFmt w:val="lowerRoman"/>
      <w:lvlText w:val="%3."/>
      <w:lvlJc w:val="right"/>
      <w:pPr>
        <w:ind w:left="2160" w:hanging="180"/>
      </w:pPr>
      <w:rPr>
        <w:b w:val="0"/>
        <w:bCs/>
        <w:i/>
        <w:i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7C7C"/>
    <w:multiLevelType w:val="hybridMultilevel"/>
    <w:tmpl w:val="7C02B544"/>
    <w:lvl w:ilvl="0" w:tplc="B11622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D30B4"/>
    <w:multiLevelType w:val="multilevel"/>
    <w:tmpl w:val="3958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81A4C"/>
    <w:multiLevelType w:val="hybridMultilevel"/>
    <w:tmpl w:val="76B0A3B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66FCB"/>
    <w:multiLevelType w:val="hybridMultilevel"/>
    <w:tmpl w:val="2F2A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88102">
    <w:abstractNumId w:val="2"/>
  </w:num>
  <w:num w:numId="2" w16cid:durableId="1540170735">
    <w:abstractNumId w:val="3"/>
  </w:num>
  <w:num w:numId="3" w16cid:durableId="1863855658">
    <w:abstractNumId w:val="6"/>
  </w:num>
  <w:num w:numId="4" w16cid:durableId="1196192778">
    <w:abstractNumId w:val="1"/>
  </w:num>
  <w:num w:numId="5" w16cid:durableId="1592546070">
    <w:abstractNumId w:val="5"/>
  </w:num>
  <w:num w:numId="6" w16cid:durableId="8667">
    <w:abstractNumId w:val="0"/>
  </w:num>
  <w:num w:numId="7" w16cid:durableId="1498156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73"/>
    <w:rsid w:val="0000750C"/>
    <w:rsid w:val="00007B6D"/>
    <w:rsid w:val="00010DE0"/>
    <w:rsid w:val="00024DC6"/>
    <w:rsid w:val="00027437"/>
    <w:rsid w:val="00060034"/>
    <w:rsid w:val="00066DFF"/>
    <w:rsid w:val="00074996"/>
    <w:rsid w:val="000768A2"/>
    <w:rsid w:val="000805FC"/>
    <w:rsid w:val="00085353"/>
    <w:rsid w:val="000A39F2"/>
    <w:rsid w:val="000A5DCF"/>
    <w:rsid w:val="000A6CA8"/>
    <w:rsid w:val="000B0209"/>
    <w:rsid w:val="000B5340"/>
    <w:rsid w:val="000B564D"/>
    <w:rsid w:val="000B63AE"/>
    <w:rsid w:val="000C11CE"/>
    <w:rsid w:val="000C2D93"/>
    <w:rsid w:val="000C3B2E"/>
    <w:rsid w:val="000C3C7C"/>
    <w:rsid w:val="000F0E15"/>
    <w:rsid w:val="000F2D56"/>
    <w:rsid w:val="00100F4D"/>
    <w:rsid w:val="001017FC"/>
    <w:rsid w:val="0010664F"/>
    <w:rsid w:val="0011101E"/>
    <w:rsid w:val="00123233"/>
    <w:rsid w:val="001238D8"/>
    <w:rsid w:val="001240CB"/>
    <w:rsid w:val="00127BEA"/>
    <w:rsid w:val="0013788D"/>
    <w:rsid w:val="001415A6"/>
    <w:rsid w:val="00147CD5"/>
    <w:rsid w:val="00153EAD"/>
    <w:rsid w:val="0017260E"/>
    <w:rsid w:val="00172A01"/>
    <w:rsid w:val="00173878"/>
    <w:rsid w:val="00193189"/>
    <w:rsid w:val="001955D1"/>
    <w:rsid w:val="001970F4"/>
    <w:rsid w:val="001A41C0"/>
    <w:rsid w:val="001B19F3"/>
    <w:rsid w:val="001B6D62"/>
    <w:rsid w:val="001D22A1"/>
    <w:rsid w:val="001E0DDD"/>
    <w:rsid w:val="001E5027"/>
    <w:rsid w:val="001F2A59"/>
    <w:rsid w:val="002034B1"/>
    <w:rsid w:val="0020657A"/>
    <w:rsid w:val="0021784F"/>
    <w:rsid w:val="00224C26"/>
    <w:rsid w:val="002266E3"/>
    <w:rsid w:val="002359EB"/>
    <w:rsid w:val="00237162"/>
    <w:rsid w:val="0024077D"/>
    <w:rsid w:val="0026225A"/>
    <w:rsid w:val="00267154"/>
    <w:rsid w:val="00282467"/>
    <w:rsid w:val="0028422E"/>
    <w:rsid w:val="00285A96"/>
    <w:rsid w:val="00287920"/>
    <w:rsid w:val="002A0E47"/>
    <w:rsid w:val="002A3A18"/>
    <w:rsid w:val="002A542A"/>
    <w:rsid w:val="002F105A"/>
    <w:rsid w:val="002F2237"/>
    <w:rsid w:val="002F3DAF"/>
    <w:rsid w:val="003015D7"/>
    <w:rsid w:val="003034D9"/>
    <w:rsid w:val="00326450"/>
    <w:rsid w:val="00330AE1"/>
    <w:rsid w:val="003328A7"/>
    <w:rsid w:val="00333AA1"/>
    <w:rsid w:val="00350B60"/>
    <w:rsid w:val="00370C93"/>
    <w:rsid w:val="00376F09"/>
    <w:rsid w:val="003878B7"/>
    <w:rsid w:val="00387B7B"/>
    <w:rsid w:val="00390F1F"/>
    <w:rsid w:val="0039539C"/>
    <w:rsid w:val="003A3D96"/>
    <w:rsid w:val="003A497C"/>
    <w:rsid w:val="003B2BFC"/>
    <w:rsid w:val="003B5277"/>
    <w:rsid w:val="003B6673"/>
    <w:rsid w:val="003D367B"/>
    <w:rsid w:val="003F0334"/>
    <w:rsid w:val="003F1555"/>
    <w:rsid w:val="003F157A"/>
    <w:rsid w:val="003F3367"/>
    <w:rsid w:val="003F37F8"/>
    <w:rsid w:val="00400E13"/>
    <w:rsid w:val="00402624"/>
    <w:rsid w:val="00410B29"/>
    <w:rsid w:val="00413D9D"/>
    <w:rsid w:val="0041711C"/>
    <w:rsid w:val="00422C7A"/>
    <w:rsid w:val="00444046"/>
    <w:rsid w:val="00444B59"/>
    <w:rsid w:val="0044560A"/>
    <w:rsid w:val="00445C27"/>
    <w:rsid w:val="00451FF4"/>
    <w:rsid w:val="00457ED2"/>
    <w:rsid w:val="00461F26"/>
    <w:rsid w:val="00470EB8"/>
    <w:rsid w:val="00471A65"/>
    <w:rsid w:val="0048108C"/>
    <w:rsid w:val="00481CA8"/>
    <w:rsid w:val="00484D40"/>
    <w:rsid w:val="00494271"/>
    <w:rsid w:val="004978BD"/>
    <w:rsid w:val="004A3A08"/>
    <w:rsid w:val="004A3EAF"/>
    <w:rsid w:val="004A5276"/>
    <w:rsid w:val="004A69CA"/>
    <w:rsid w:val="004A6E56"/>
    <w:rsid w:val="004B5E84"/>
    <w:rsid w:val="004C1F07"/>
    <w:rsid w:val="004D17C2"/>
    <w:rsid w:val="004D7129"/>
    <w:rsid w:val="004E47DD"/>
    <w:rsid w:val="004F181A"/>
    <w:rsid w:val="004F3E5F"/>
    <w:rsid w:val="004F40AE"/>
    <w:rsid w:val="00500EBE"/>
    <w:rsid w:val="00502C6E"/>
    <w:rsid w:val="00512722"/>
    <w:rsid w:val="00514E11"/>
    <w:rsid w:val="005249A5"/>
    <w:rsid w:val="00530282"/>
    <w:rsid w:val="00531063"/>
    <w:rsid w:val="0053113F"/>
    <w:rsid w:val="00535B34"/>
    <w:rsid w:val="00536032"/>
    <w:rsid w:val="005400A9"/>
    <w:rsid w:val="00540AE8"/>
    <w:rsid w:val="00542946"/>
    <w:rsid w:val="00543161"/>
    <w:rsid w:val="00563933"/>
    <w:rsid w:val="00567533"/>
    <w:rsid w:val="005679CA"/>
    <w:rsid w:val="00570271"/>
    <w:rsid w:val="00574572"/>
    <w:rsid w:val="00594AEA"/>
    <w:rsid w:val="005A0F18"/>
    <w:rsid w:val="005A148B"/>
    <w:rsid w:val="005A2DB1"/>
    <w:rsid w:val="005B0550"/>
    <w:rsid w:val="005B0CD8"/>
    <w:rsid w:val="005B1502"/>
    <w:rsid w:val="005B2066"/>
    <w:rsid w:val="005B276D"/>
    <w:rsid w:val="005B75AF"/>
    <w:rsid w:val="005C1670"/>
    <w:rsid w:val="005C1D9B"/>
    <w:rsid w:val="005C2B07"/>
    <w:rsid w:val="005D1A2D"/>
    <w:rsid w:val="005D2082"/>
    <w:rsid w:val="005D2C48"/>
    <w:rsid w:val="005E0535"/>
    <w:rsid w:val="005E112D"/>
    <w:rsid w:val="006003F5"/>
    <w:rsid w:val="006012BB"/>
    <w:rsid w:val="00603E6F"/>
    <w:rsid w:val="0060599F"/>
    <w:rsid w:val="00606A10"/>
    <w:rsid w:val="0061443F"/>
    <w:rsid w:val="006149C7"/>
    <w:rsid w:val="00616C8F"/>
    <w:rsid w:val="00661211"/>
    <w:rsid w:val="00665050"/>
    <w:rsid w:val="006668F4"/>
    <w:rsid w:val="00667710"/>
    <w:rsid w:val="00676BE5"/>
    <w:rsid w:val="0067766B"/>
    <w:rsid w:val="006873F3"/>
    <w:rsid w:val="00687FDC"/>
    <w:rsid w:val="00690097"/>
    <w:rsid w:val="00695E01"/>
    <w:rsid w:val="00696C3A"/>
    <w:rsid w:val="006A019C"/>
    <w:rsid w:val="006D629E"/>
    <w:rsid w:val="006E7063"/>
    <w:rsid w:val="006F1F6E"/>
    <w:rsid w:val="006F34FA"/>
    <w:rsid w:val="00702F14"/>
    <w:rsid w:val="007061F2"/>
    <w:rsid w:val="00710049"/>
    <w:rsid w:val="00720758"/>
    <w:rsid w:val="00745898"/>
    <w:rsid w:val="007546A3"/>
    <w:rsid w:val="00754D7A"/>
    <w:rsid w:val="0075654F"/>
    <w:rsid w:val="007629A6"/>
    <w:rsid w:val="00770939"/>
    <w:rsid w:val="00776E46"/>
    <w:rsid w:val="00780274"/>
    <w:rsid w:val="00782168"/>
    <w:rsid w:val="0079384A"/>
    <w:rsid w:val="00793CC8"/>
    <w:rsid w:val="007953DA"/>
    <w:rsid w:val="007B7341"/>
    <w:rsid w:val="007C38D4"/>
    <w:rsid w:val="007C7993"/>
    <w:rsid w:val="007E2921"/>
    <w:rsid w:val="007E3411"/>
    <w:rsid w:val="007F2DF2"/>
    <w:rsid w:val="007F2EDB"/>
    <w:rsid w:val="007F62E7"/>
    <w:rsid w:val="00804A8B"/>
    <w:rsid w:val="00806D7B"/>
    <w:rsid w:val="008122CC"/>
    <w:rsid w:val="00837089"/>
    <w:rsid w:val="0083719F"/>
    <w:rsid w:val="00837E16"/>
    <w:rsid w:val="008403DB"/>
    <w:rsid w:val="008523A3"/>
    <w:rsid w:val="008654E6"/>
    <w:rsid w:val="00892185"/>
    <w:rsid w:val="0089356F"/>
    <w:rsid w:val="008B2C21"/>
    <w:rsid w:val="008C0B54"/>
    <w:rsid w:val="008D0964"/>
    <w:rsid w:val="008E0F44"/>
    <w:rsid w:val="008F008B"/>
    <w:rsid w:val="00912F5B"/>
    <w:rsid w:val="00915C07"/>
    <w:rsid w:val="0093635F"/>
    <w:rsid w:val="00937B98"/>
    <w:rsid w:val="009505CB"/>
    <w:rsid w:val="00957527"/>
    <w:rsid w:val="00962043"/>
    <w:rsid w:val="0097047B"/>
    <w:rsid w:val="00970F44"/>
    <w:rsid w:val="00980179"/>
    <w:rsid w:val="00983E4F"/>
    <w:rsid w:val="0099219A"/>
    <w:rsid w:val="009A66C2"/>
    <w:rsid w:val="009B0143"/>
    <w:rsid w:val="009B207F"/>
    <w:rsid w:val="009B4420"/>
    <w:rsid w:val="009D1B63"/>
    <w:rsid w:val="009D3BB0"/>
    <w:rsid w:val="009E0514"/>
    <w:rsid w:val="009F4092"/>
    <w:rsid w:val="009F4332"/>
    <w:rsid w:val="00A03611"/>
    <w:rsid w:val="00A06D50"/>
    <w:rsid w:val="00A06FFA"/>
    <w:rsid w:val="00A12B72"/>
    <w:rsid w:val="00A15768"/>
    <w:rsid w:val="00A258D9"/>
    <w:rsid w:val="00A25F93"/>
    <w:rsid w:val="00A30E28"/>
    <w:rsid w:val="00A31626"/>
    <w:rsid w:val="00A34A14"/>
    <w:rsid w:val="00A350D2"/>
    <w:rsid w:val="00A36D3F"/>
    <w:rsid w:val="00A47E98"/>
    <w:rsid w:val="00A51C73"/>
    <w:rsid w:val="00A53D7E"/>
    <w:rsid w:val="00A55A3F"/>
    <w:rsid w:val="00A61F1D"/>
    <w:rsid w:val="00A67B9B"/>
    <w:rsid w:val="00A712E2"/>
    <w:rsid w:val="00A72926"/>
    <w:rsid w:val="00A74944"/>
    <w:rsid w:val="00A76CC5"/>
    <w:rsid w:val="00A8472A"/>
    <w:rsid w:val="00A9018F"/>
    <w:rsid w:val="00AA5D27"/>
    <w:rsid w:val="00AA6EF0"/>
    <w:rsid w:val="00AB1594"/>
    <w:rsid w:val="00AB6EA7"/>
    <w:rsid w:val="00AC2B9A"/>
    <w:rsid w:val="00AC708F"/>
    <w:rsid w:val="00AD23E2"/>
    <w:rsid w:val="00AD2436"/>
    <w:rsid w:val="00AD6DAC"/>
    <w:rsid w:val="00AF06AC"/>
    <w:rsid w:val="00AF59C1"/>
    <w:rsid w:val="00AF5FB7"/>
    <w:rsid w:val="00B0258C"/>
    <w:rsid w:val="00B03FB8"/>
    <w:rsid w:val="00B12045"/>
    <w:rsid w:val="00B12285"/>
    <w:rsid w:val="00B27452"/>
    <w:rsid w:val="00B31D88"/>
    <w:rsid w:val="00B31F51"/>
    <w:rsid w:val="00B352ED"/>
    <w:rsid w:val="00B41197"/>
    <w:rsid w:val="00B43883"/>
    <w:rsid w:val="00B44EC1"/>
    <w:rsid w:val="00B526CB"/>
    <w:rsid w:val="00B554B1"/>
    <w:rsid w:val="00B56173"/>
    <w:rsid w:val="00B61F7B"/>
    <w:rsid w:val="00B6363B"/>
    <w:rsid w:val="00B6720C"/>
    <w:rsid w:val="00B77E06"/>
    <w:rsid w:val="00B83AF6"/>
    <w:rsid w:val="00B943A1"/>
    <w:rsid w:val="00B94949"/>
    <w:rsid w:val="00B97867"/>
    <w:rsid w:val="00B979B1"/>
    <w:rsid w:val="00BA166C"/>
    <w:rsid w:val="00BA55E4"/>
    <w:rsid w:val="00BB3F14"/>
    <w:rsid w:val="00BB54E9"/>
    <w:rsid w:val="00BC4A5F"/>
    <w:rsid w:val="00BC6BF5"/>
    <w:rsid w:val="00BE3540"/>
    <w:rsid w:val="00BF4E5A"/>
    <w:rsid w:val="00BF58F0"/>
    <w:rsid w:val="00BF61E6"/>
    <w:rsid w:val="00BF61FB"/>
    <w:rsid w:val="00C00BE7"/>
    <w:rsid w:val="00C04660"/>
    <w:rsid w:val="00C0699E"/>
    <w:rsid w:val="00C106A7"/>
    <w:rsid w:val="00C1296C"/>
    <w:rsid w:val="00C1788F"/>
    <w:rsid w:val="00C2341F"/>
    <w:rsid w:val="00C25237"/>
    <w:rsid w:val="00C325DE"/>
    <w:rsid w:val="00C349A7"/>
    <w:rsid w:val="00C41AA8"/>
    <w:rsid w:val="00C42704"/>
    <w:rsid w:val="00C44FCF"/>
    <w:rsid w:val="00C500C9"/>
    <w:rsid w:val="00C50759"/>
    <w:rsid w:val="00C605A6"/>
    <w:rsid w:val="00C63B8F"/>
    <w:rsid w:val="00C8521B"/>
    <w:rsid w:val="00C869D5"/>
    <w:rsid w:val="00C92455"/>
    <w:rsid w:val="00C925D8"/>
    <w:rsid w:val="00C92A3C"/>
    <w:rsid w:val="00CA2BFE"/>
    <w:rsid w:val="00CB12FF"/>
    <w:rsid w:val="00CB2F48"/>
    <w:rsid w:val="00CB31D0"/>
    <w:rsid w:val="00CB4EF6"/>
    <w:rsid w:val="00CB5BF6"/>
    <w:rsid w:val="00CB5DE6"/>
    <w:rsid w:val="00CB6654"/>
    <w:rsid w:val="00CC01F2"/>
    <w:rsid w:val="00CD63E1"/>
    <w:rsid w:val="00CD766B"/>
    <w:rsid w:val="00CE1EC5"/>
    <w:rsid w:val="00CE252F"/>
    <w:rsid w:val="00CF31A3"/>
    <w:rsid w:val="00CF3C6E"/>
    <w:rsid w:val="00CF5DB9"/>
    <w:rsid w:val="00D154F5"/>
    <w:rsid w:val="00D20C29"/>
    <w:rsid w:val="00D26BBF"/>
    <w:rsid w:val="00D31C98"/>
    <w:rsid w:val="00D329FD"/>
    <w:rsid w:val="00D32FF0"/>
    <w:rsid w:val="00D371A5"/>
    <w:rsid w:val="00D53017"/>
    <w:rsid w:val="00D57173"/>
    <w:rsid w:val="00D847BE"/>
    <w:rsid w:val="00D908BB"/>
    <w:rsid w:val="00D94EEC"/>
    <w:rsid w:val="00DA26EC"/>
    <w:rsid w:val="00DA2B97"/>
    <w:rsid w:val="00DB13E8"/>
    <w:rsid w:val="00DB4636"/>
    <w:rsid w:val="00DB7DE0"/>
    <w:rsid w:val="00DD5182"/>
    <w:rsid w:val="00DD70D2"/>
    <w:rsid w:val="00DE09AF"/>
    <w:rsid w:val="00DF0F27"/>
    <w:rsid w:val="00DF4679"/>
    <w:rsid w:val="00DF6943"/>
    <w:rsid w:val="00DF7591"/>
    <w:rsid w:val="00E0397C"/>
    <w:rsid w:val="00E039DD"/>
    <w:rsid w:val="00E05F1D"/>
    <w:rsid w:val="00E43468"/>
    <w:rsid w:val="00E4427C"/>
    <w:rsid w:val="00E55B05"/>
    <w:rsid w:val="00E654D3"/>
    <w:rsid w:val="00E71DC3"/>
    <w:rsid w:val="00E769B9"/>
    <w:rsid w:val="00E84C7A"/>
    <w:rsid w:val="00E85FC6"/>
    <w:rsid w:val="00E86973"/>
    <w:rsid w:val="00E91DA7"/>
    <w:rsid w:val="00E94493"/>
    <w:rsid w:val="00EA3195"/>
    <w:rsid w:val="00EA4467"/>
    <w:rsid w:val="00EB53F7"/>
    <w:rsid w:val="00EB6052"/>
    <w:rsid w:val="00EC0EC4"/>
    <w:rsid w:val="00EC4DF4"/>
    <w:rsid w:val="00ED2E91"/>
    <w:rsid w:val="00EF1D45"/>
    <w:rsid w:val="00EF3560"/>
    <w:rsid w:val="00EF68C3"/>
    <w:rsid w:val="00F010C9"/>
    <w:rsid w:val="00F0161E"/>
    <w:rsid w:val="00F14385"/>
    <w:rsid w:val="00F24102"/>
    <w:rsid w:val="00F2616D"/>
    <w:rsid w:val="00F31C1D"/>
    <w:rsid w:val="00F43141"/>
    <w:rsid w:val="00F47BD7"/>
    <w:rsid w:val="00F66C83"/>
    <w:rsid w:val="00F71375"/>
    <w:rsid w:val="00F820D9"/>
    <w:rsid w:val="00F9281F"/>
    <w:rsid w:val="00FA7F7F"/>
    <w:rsid w:val="00FB3F8A"/>
    <w:rsid w:val="00FB426E"/>
    <w:rsid w:val="00FB49C3"/>
    <w:rsid w:val="00FB59A5"/>
    <w:rsid w:val="00FD3795"/>
    <w:rsid w:val="00FE5296"/>
    <w:rsid w:val="00FE73A8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00F3"/>
  <w15:chartTrackingRefBased/>
  <w15:docId w15:val="{F0F11A20-0A22-42A1-82D0-AB77BC0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73"/>
  </w:style>
  <w:style w:type="paragraph" w:styleId="Heading1">
    <w:name w:val="heading 1"/>
    <w:basedOn w:val="Normal"/>
    <w:link w:val="Heading1Char"/>
    <w:uiPriority w:val="9"/>
    <w:qFormat/>
    <w:rsid w:val="009B2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05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20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672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978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3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uchatfriedman@dsba.org?subject=Delaware%20Law%20Review%20Artic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libsyn.com/567660/best-practices-for-drafting-reasoned-arbitration-awards-a-conversation-with-john-burritt-mcarthur?utm_source=College+of+Commercial+Arbitrators+%28CCA%29&amp;utm_campaign=049c74f2de-EMAIL_CAMPAIGN_2022_02_17_07_07_COPY_01&amp;utm_medium=email&amp;utm_term=0_b4d371279f-049c74f2de-45855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arbitrationreview.com/guide/the-guide-challenging-and-enforcing-arbitration-awards/4th-edition/article/enforcement-under-the-new-york-convention" TargetMode="External"/><Relationship Id="rId5" Type="http://schemas.openxmlformats.org/officeDocument/2006/relationships/hyperlink" Target="https://www.sidley.com/en/insights/newsupdates/2025/05/aaa-revises-consumer-and-employment-workplace-arbitration-rul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Holly</dc:creator>
  <cp:keywords/>
  <dc:description/>
  <cp:lastModifiedBy>Conaway Legal LLC</cp:lastModifiedBy>
  <cp:revision>2</cp:revision>
  <cp:lastPrinted>2025-05-20T18:24:00Z</cp:lastPrinted>
  <dcterms:created xsi:type="dcterms:W3CDTF">2025-07-15T19:57:00Z</dcterms:created>
  <dcterms:modified xsi:type="dcterms:W3CDTF">2025-07-15T19:57:00Z</dcterms:modified>
</cp:coreProperties>
</file>